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
        <w:ind w:left="138" w:right="2235" w:firstLine="0"/>
        <w:jc w:val="left"/>
        <w:rPr>
          <w:sz w:val="40"/>
        </w:rPr>
      </w:pPr>
      <w:r>
        <w:rPr/>
        <w:pict>
          <v:shape style="position:absolute;margin-left:69.384003pt;margin-top:51.067772pt;width:456.55pt;height:.1pt;mso-position-horizontal-relative:page;mso-position-vertical-relative:paragraph;z-index:-251658240;mso-wrap-distance-left:0;mso-wrap-distance-right:0" coordorigin="1388,1021" coordsize="9131,0" path="m1388,1021l10519,1021e" filled="false" stroked="true" strokeweight=".96pt" strokecolor="#340890">
            <v:path arrowok="t"/>
            <v:stroke dashstyle="solid"/>
            <w10:wrap type="topAndBottom"/>
          </v:shape>
        </w:pict>
      </w:r>
      <w:r>
        <w:rPr>
          <w:sz w:val="40"/>
        </w:rPr>
        <w:t>Handbuch AIRBATT LiFePO</w:t>
      </w:r>
      <w:r>
        <w:rPr>
          <w:sz w:val="40"/>
          <w:vertAlign w:val="subscript"/>
        </w:rPr>
        <w:t>4</w:t>
      </w:r>
      <w:r>
        <w:rPr>
          <w:sz w:val="40"/>
          <w:vertAlign w:val="baseline"/>
        </w:rPr>
        <w:t> Batterien Start-Power und Energiepower Serie</w:t>
      </w:r>
    </w:p>
    <w:p>
      <w:pPr>
        <w:pStyle w:val="BodyText"/>
        <w:spacing w:before="10"/>
        <w:rPr>
          <w:sz w:val="14"/>
        </w:rPr>
      </w:pPr>
    </w:p>
    <w:p>
      <w:pPr>
        <w:pStyle w:val="BodyText"/>
        <w:spacing w:before="96"/>
        <w:ind w:left="136" w:right="118"/>
      </w:pPr>
      <w:r>
        <w:rPr/>
        <w:t>Urheberrecht © ACCU-24 Batterien &amp; Systeme GmbH - Alle Rechte vorbehalten. Die Informationen in dieser Publikation ersetzen alle vorher veröffentlichten Publikationen.</w:t>
      </w:r>
    </w:p>
    <w:p>
      <w:pPr>
        <w:pStyle w:val="BodyText"/>
        <w:spacing w:before="11"/>
        <w:rPr>
          <w:sz w:val="15"/>
        </w:rPr>
      </w:pPr>
    </w:p>
    <w:p>
      <w:pPr>
        <w:pStyle w:val="BodyText"/>
        <w:ind w:left="136"/>
      </w:pPr>
      <w:r>
        <w:rPr/>
        <w:t>Stand: 01.10.2020</w:t>
      </w:r>
    </w:p>
    <w:p>
      <w:pPr>
        <w:pStyle w:val="BodyText"/>
        <w:spacing w:line="368" w:lineRule="exact" w:before="39"/>
        <w:ind w:left="136" w:right="2716"/>
      </w:pPr>
      <w:r>
        <w:rPr/>
        <w:t>AIRBATT ist als Handelsmarke der ACCU-24 Batterien &amp; Systeme GmbH registriert. Kontakt</w:t>
      </w:r>
    </w:p>
    <w:p>
      <w:pPr>
        <w:pStyle w:val="BodyText"/>
        <w:spacing w:line="144" w:lineRule="exact"/>
        <w:ind w:left="136"/>
      </w:pPr>
      <w:r>
        <w:rPr/>
        <w:t>ACCU-24 Batterien &amp; Systeme GmbH</w:t>
      </w:r>
    </w:p>
    <w:p>
      <w:pPr>
        <w:pStyle w:val="BodyText"/>
        <w:ind w:left="136"/>
      </w:pPr>
      <w:r>
        <w:rPr/>
        <w:t>Untergasse 5</w:t>
      </w:r>
    </w:p>
    <w:p>
      <w:pPr>
        <w:pStyle w:val="BodyText"/>
        <w:ind w:left="136"/>
      </w:pPr>
      <w:r>
        <w:rPr/>
        <w:t>63688 Gedern</w:t>
      </w:r>
    </w:p>
    <w:p>
      <w:pPr>
        <w:pStyle w:val="BodyText"/>
        <w:spacing w:before="2"/>
      </w:pPr>
    </w:p>
    <w:p>
      <w:pPr>
        <w:pStyle w:val="BodyText"/>
        <w:spacing w:line="184" w:lineRule="exact"/>
        <w:ind w:left="136"/>
      </w:pPr>
      <w:r>
        <w:rPr/>
        <w:t>Für Produktinformationen und technische Unterstützung:</w:t>
      </w:r>
    </w:p>
    <w:p>
      <w:pPr>
        <w:pStyle w:val="BodyText"/>
        <w:spacing w:line="184" w:lineRule="exact"/>
        <w:ind w:left="136"/>
      </w:pPr>
      <w:r>
        <w:rPr/>
        <w:t>Tel.: 0049 (0) 6045 / 952520</w:t>
      </w:r>
    </w:p>
    <w:p>
      <w:pPr>
        <w:pStyle w:val="BodyText"/>
        <w:ind w:left="136"/>
      </w:pPr>
      <w:r>
        <w:rPr/>
        <w:t>Email: </w:t>
      </w:r>
      <w:hyperlink r:id="rId7">
        <w:r>
          <w:rPr/>
          <w:t>info@accu-24.de</w:t>
        </w:r>
      </w:hyperlink>
    </w:p>
    <w:p>
      <w:pPr>
        <w:pStyle w:val="BodyText"/>
        <w:rPr>
          <w:sz w:val="18"/>
        </w:rPr>
      </w:pPr>
    </w:p>
    <w:p>
      <w:pPr>
        <w:pStyle w:val="BodyText"/>
        <w:rPr>
          <w:sz w:val="18"/>
        </w:rPr>
      </w:pPr>
    </w:p>
    <w:p>
      <w:pPr>
        <w:pStyle w:val="BodyText"/>
        <w:spacing w:before="8"/>
        <w:rPr>
          <w:sz w:val="15"/>
        </w:rPr>
      </w:pPr>
    </w:p>
    <w:p>
      <w:pPr>
        <w:pStyle w:val="Heading1"/>
        <w:spacing w:before="0"/>
      </w:pPr>
      <w:r>
        <w:rPr/>
        <w:t>Allgemeine Hinweise</w:t>
      </w:r>
    </w:p>
    <w:p>
      <w:pPr>
        <w:pStyle w:val="BodyText"/>
        <w:spacing w:before="6"/>
        <w:rPr>
          <w:rFonts w:ascii="Tahoma"/>
          <w:b/>
          <w:sz w:val="29"/>
        </w:rPr>
      </w:pPr>
    </w:p>
    <w:p>
      <w:pPr>
        <w:pStyle w:val="BodyText"/>
        <w:spacing w:line="237" w:lineRule="auto"/>
        <w:ind w:left="136" w:right="170"/>
        <w:jc w:val="both"/>
      </w:pPr>
      <w:r>
        <w:rPr>
          <w:position w:val="2"/>
        </w:rPr>
        <w:t>Die wiederaufladbaren AIRBATT Lithium-Eisen-Phosphat Batterien (nachfolgend auch LiFePO</w:t>
      </w:r>
      <w:r>
        <w:rPr>
          <w:sz w:val="10"/>
        </w:rPr>
        <w:t>4 </w:t>
      </w:r>
      <w:r>
        <w:rPr>
          <w:position w:val="2"/>
        </w:rPr>
        <w:t>Batterien genannt) dürfen nur </w:t>
      </w:r>
      <w:r>
        <w:rPr/>
        <w:t>mit Ladegeräten aufgeladen werden, die der Batterietechnologie entsprechen. LiFePO</w:t>
      </w:r>
      <w:r>
        <w:rPr>
          <w:sz w:val="10"/>
        </w:rPr>
        <w:t>4 </w:t>
      </w:r>
      <w:r>
        <w:rPr/>
        <w:t>Batterien erfordern eine besondere Pflege bei der Anwendung und im Umgang. Lesen Sie bitte die Hinweise und Richtlinien in diesem Dokument und befolgen diese, um Ihre AIRBATT Batterie sicher anzuwenden.</w:t>
      </w:r>
    </w:p>
    <w:p>
      <w:pPr>
        <w:pStyle w:val="BodyText"/>
        <w:spacing w:before="11"/>
        <w:rPr>
          <w:sz w:val="15"/>
        </w:rPr>
      </w:pPr>
    </w:p>
    <w:p>
      <w:pPr>
        <w:pStyle w:val="BodyText"/>
        <w:spacing w:line="237" w:lineRule="auto"/>
        <w:ind w:left="136" w:right="170"/>
        <w:jc w:val="both"/>
      </w:pPr>
      <w:r>
        <w:rPr>
          <w:position w:val="2"/>
        </w:rPr>
        <w:t>Die normale  geschätzte  Lebensdauer  der  AIRBATT  LiFePO</w:t>
      </w:r>
      <w:r>
        <w:rPr>
          <w:sz w:val="10"/>
        </w:rPr>
        <w:t>4  </w:t>
      </w:r>
      <w:r>
        <w:rPr>
          <w:position w:val="2"/>
        </w:rPr>
        <w:t>Batterie  beträgt  etwa  10  bis  15  Jahre  oder  1000  bis  </w:t>
      </w:r>
      <w:r>
        <w:rPr/>
        <w:t>2000 Ladungszyklen, je nach Entladeschlussspannung. Ein Ladungszyklus ist die Anwendungszeit,  die  vom  voll aufgeladenen  Zustand  der  Batterie  zum   Tiefentladepunkt   der   Batterie   führt   und   wieder   zurück   zum Vollladezustand.</w:t>
      </w:r>
    </w:p>
    <w:p>
      <w:pPr>
        <w:pStyle w:val="BodyText"/>
        <w:spacing w:line="235" w:lineRule="auto" w:before="2"/>
        <w:ind w:left="136" w:right="170"/>
        <w:jc w:val="both"/>
      </w:pPr>
      <w:r>
        <w:rPr>
          <w:position w:val="2"/>
        </w:rPr>
        <w:t>Die AIRBATT Start-Power  LiFePO</w:t>
      </w:r>
      <w:r>
        <w:rPr>
          <w:sz w:val="10"/>
        </w:rPr>
        <w:t>4  </w:t>
      </w:r>
      <w:r>
        <w:rPr>
          <w:position w:val="2"/>
        </w:rPr>
        <w:t>Batterie  hat  eine  befristete  Lebensdauer.  Auch  im  Ruhezustand  erfolgt  eine </w:t>
      </w:r>
      <w:r>
        <w:rPr/>
        <w:t>langsame Selbstentladung der Batterie, die Kapazität nimmt ab.  Prüfen Sie regelmäßig den Ladungsstand  der Batterie. Nur  so erreicht Ihre Batterie die höchste</w:t>
      </w:r>
      <w:r>
        <w:rPr>
          <w:spacing w:val="-1"/>
        </w:rPr>
        <w:t> </w:t>
      </w:r>
      <w:r>
        <w:rPr/>
        <w:t>Lebensdauer.</w:t>
      </w:r>
    </w:p>
    <w:p>
      <w:pPr>
        <w:pStyle w:val="BodyText"/>
        <w:rPr>
          <w:sz w:val="18"/>
        </w:rPr>
      </w:pPr>
    </w:p>
    <w:p>
      <w:pPr>
        <w:pStyle w:val="Heading1"/>
        <w:spacing w:before="159"/>
      </w:pPr>
      <w:r>
        <w:rPr/>
        <w:t>Aufladung</w:t>
      </w:r>
    </w:p>
    <w:p>
      <w:pPr>
        <w:pStyle w:val="BodyText"/>
        <w:spacing w:before="5"/>
        <w:rPr>
          <w:rFonts w:ascii="Tahoma"/>
          <w:b/>
          <w:sz w:val="29"/>
        </w:rPr>
      </w:pPr>
    </w:p>
    <w:p>
      <w:pPr>
        <w:pStyle w:val="BodyText"/>
        <w:ind w:left="136" w:right="165"/>
        <w:jc w:val="both"/>
      </w:pPr>
      <w:r>
        <w:rPr/>
        <w:t>AIRBATT  Batterien  können  mit  fast  allen  Fahrzeuggeneratoren  und  mit  bis  zu  maximal  14.7  Volt  geladen  werden.   Der Ladevorgang ist bei den  LiFePO</w:t>
      </w:r>
      <w:r>
        <w:rPr>
          <w:sz w:val="10"/>
        </w:rPr>
        <w:t>4  </w:t>
      </w:r>
      <w:r>
        <w:rPr/>
        <w:t>Batterien  wesentlich  kürzer  als  bei  herkömmlichen  Blei-Batterien.  </w:t>
      </w:r>
      <w:r>
        <w:rPr>
          <w:u w:val="single"/>
        </w:rPr>
        <w:t>Überladen  Sie</w:t>
      </w:r>
      <w:r>
        <w:rPr/>
        <w:t> </w:t>
      </w:r>
      <w:r>
        <w:rPr>
          <w:u w:val="single"/>
        </w:rPr>
        <w:t>Ihre Batterie nich</w:t>
      </w:r>
      <w:r>
        <w:rPr/>
        <w:t>t, da dies zur Schädigung der Batterie führen kann. Beim Laden der Batterie mit einem Ladegerät darf nur    ein LiFePO</w:t>
      </w:r>
      <w:r>
        <w:rPr>
          <w:sz w:val="10"/>
        </w:rPr>
        <w:t>4</w:t>
      </w:r>
      <w:r>
        <w:rPr/>
        <w:t>-Ladegerät verwenden werden.</w:t>
      </w:r>
    </w:p>
    <w:p>
      <w:pPr>
        <w:pStyle w:val="BodyText"/>
        <w:rPr>
          <w:sz w:val="18"/>
        </w:rPr>
      </w:pPr>
    </w:p>
    <w:p>
      <w:pPr>
        <w:pStyle w:val="Heading1"/>
      </w:pPr>
      <w:r>
        <w:rPr/>
        <w:t>Tiefentladung</w:t>
      </w:r>
    </w:p>
    <w:p>
      <w:pPr>
        <w:pStyle w:val="BodyText"/>
        <w:spacing w:before="5"/>
        <w:rPr>
          <w:rFonts w:ascii="Tahoma"/>
          <w:b/>
          <w:sz w:val="29"/>
        </w:rPr>
      </w:pPr>
    </w:p>
    <w:p>
      <w:pPr>
        <w:pStyle w:val="BodyText"/>
        <w:ind w:left="136" w:right="171"/>
        <w:jc w:val="both"/>
      </w:pPr>
      <w:r>
        <w:rPr/>
        <w:t>Im Falle einer Tiefentladung schaltet im Inneren der AIRBATT Batterie das integrierte BMS (Batterie-Management-System - nicht bei Start-Power-Modellen) die Akku-Elektronik ab. Die Folge ist ein Spannungsabfall an den äußeren Kontakten. Wird  nun ein Ladegerät an die Batterie angeschlossen, wird dieses in der Regel den Ladevorgang verweigern, da keine Rückspannung erfolgt.  Schließen Sie in diesem Fall eine andere 12V-DC-Quelle für etwa 30 Sekunden parallel zur Batterie  an. Das Ladegerät sollte nun korrekt</w:t>
      </w:r>
      <w:r>
        <w:rPr>
          <w:spacing w:val="-1"/>
        </w:rPr>
        <w:t> </w:t>
      </w:r>
      <w:r>
        <w:rPr/>
        <w:t>arbeiten.</w:t>
      </w:r>
    </w:p>
    <w:p>
      <w:pPr>
        <w:pStyle w:val="BodyText"/>
        <w:rPr>
          <w:sz w:val="18"/>
        </w:rPr>
      </w:pPr>
    </w:p>
    <w:p>
      <w:pPr>
        <w:pStyle w:val="Heading1"/>
      </w:pPr>
      <w:r>
        <w:rPr/>
        <w:t>Lagerung und Überwinterung</w:t>
      </w:r>
    </w:p>
    <w:p>
      <w:pPr>
        <w:pStyle w:val="BodyText"/>
        <w:spacing w:before="5"/>
        <w:rPr>
          <w:rFonts w:ascii="Tahoma"/>
          <w:b/>
          <w:sz w:val="29"/>
        </w:rPr>
      </w:pPr>
    </w:p>
    <w:p>
      <w:pPr>
        <w:pStyle w:val="BodyText"/>
        <w:ind w:left="136" w:right="152"/>
        <w:jc w:val="both"/>
      </w:pPr>
      <w:r>
        <w:rPr/>
        <w:t>Um die Batterie optimal zu überwintern, laden Sie die Batterie einmal komplett voll und lagern diese anschließend an einem trockenen  und  kühlen  Ort.  Die  Batterie  kann  im  Fahrzeug  eingebaut  bleiben;  allerdings ist   hierbei  sicherzustellen,   dass  keine Verbraucher  dauerhaft  eingeschaltet  sind.  Es wird   empfohlen, die Masseleitung abzuklemmen.   Überprüfen  Sie in regelmäßigen Abständen den Ladezustand der Batterie. Die AIRBATT Batterie sollte zwischen  -20°C  bis  +60°C gelagert werden. Beachten Sie bitte: Bei höheren Temperaturen ist mit einer erhöhten Selbstentladung zu</w:t>
      </w:r>
      <w:r>
        <w:rPr>
          <w:spacing w:val="-7"/>
        </w:rPr>
        <w:t> </w:t>
      </w:r>
      <w:r>
        <w:rPr/>
        <w:t>rechnen!</w:t>
      </w:r>
    </w:p>
    <w:p>
      <w:pPr>
        <w:spacing w:after="0"/>
        <w:jc w:val="both"/>
        <w:sectPr>
          <w:headerReference w:type="default" r:id="rId5"/>
          <w:footerReference w:type="default" r:id="rId6"/>
          <w:type w:val="continuous"/>
          <w:pgSz w:w="11910" w:h="16840"/>
          <w:pgMar w:header="750" w:footer="879" w:top="2140" w:bottom="1060" w:left="1280" w:right="1280"/>
          <w:pgNumType w:start="1"/>
        </w:sectPr>
      </w:pPr>
    </w:p>
    <w:p>
      <w:pPr>
        <w:pStyle w:val="BodyText"/>
        <w:spacing w:before="6"/>
        <w:rPr>
          <w:sz w:val="23"/>
        </w:rPr>
      </w:pPr>
    </w:p>
    <w:p>
      <w:pPr>
        <w:pStyle w:val="Heading1"/>
        <w:spacing w:before="100"/>
      </w:pPr>
      <w:r>
        <w:rPr/>
        <w:t>Wartung</w:t>
      </w:r>
    </w:p>
    <w:p>
      <w:pPr>
        <w:pStyle w:val="BodyText"/>
        <w:spacing w:before="5"/>
        <w:rPr>
          <w:rFonts w:ascii="Tahoma"/>
          <w:b/>
          <w:sz w:val="29"/>
        </w:rPr>
      </w:pPr>
    </w:p>
    <w:p>
      <w:pPr>
        <w:pStyle w:val="BodyText"/>
        <w:ind w:left="136" w:right="219"/>
        <w:jc w:val="both"/>
      </w:pPr>
      <w:r>
        <w:rPr/>
        <w:t>AIRBATT Batterien haben einen eingeschränkten Wartungsbedarf. Es ist darauf zu achten, dass die Batterie möglichst immer zu 100% geladen ist. Bei längeren Stillstandszeiten ist  der  Masse-Pol  abzuklemmen.  Nach  Längeren  Stillstandszeiten Ihres Fahrzeugs sollte vor dem ersten Starten die Batterie einmal vollgeladen werden. Prüfen Sie regelmäßig den Ladungszustand der Batterie, jedoch mindestens alle 6</w:t>
      </w:r>
      <w:r>
        <w:rPr>
          <w:spacing w:val="-1"/>
        </w:rPr>
        <w:t> </w:t>
      </w:r>
      <w:r>
        <w:rPr/>
        <w:t>Monate.</w:t>
      </w:r>
    </w:p>
    <w:p>
      <w:pPr>
        <w:pStyle w:val="BodyText"/>
        <w:rPr>
          <w:sz w:val="18"/>
        </w:rPr>
      </w:pPr>
    </w:p>
    <w:p>
      <w:pPr>
        <w:pStyle w:val="Heading1"/>
      </w:pPr>
      <w:r>
        <w:rPr/>
        <w:t>Sicherheits- und Gefahrenhinweise</w:t>
      </w:r>
    </w:p>
    <w:p>
      <w:pPr>
        <w:pStyle w:val="BodyText"/>
        <w:spacing w:before="7"/>
        <w:rPr>
          <w:rFonts w:ascii="Tahoma"/>
          <w:b/>
          <w:sz w:val="29"/>
        </w:rPr>
      </w:pPr>
    </w:p>
    <w:p>
      <w:pPr>
        <w:pStyle w:val="BodyText"/>
        <w:spacing w:before="1"/>
        <w:ind w:left="136" w:right="219"/>
        <w:jc w:val="both"/>
      </w:pPr>
      <w:r>
        <w:rPr/>
        <w:t>Lithium-Eisen-Phosphat-Batterien (LiFePO</w:t>
      </w:r>
      <w:r>
        <w:rPr>
          <w:sz w:val="10"/>
        </w:rPr>
        <w:t>4</w:t>
      </w:r>
      <w:r>
        <w:rPr/>
        <w:t>) sind Stromquellen mit einer besonders hohen Energiedichte in einem nicht Wasserdichten Umgehäuse. Die AIRBATT LiFePO</w:t>
      </w:r>
      <w:r>
        <w:rPr>
          <w:sz w:val="10"/>
        </w:rPr>
        <w:t>4  </w:t>
      </w:r>
      <w:r>
        <w:rPr/>
        <w:t>Batterien  sind  nach  UN3090  Klasse  9  eingestuft.  Eine  Batterie  ist aus mehreren Zellen in eigenen Gehäusen und einer Elektronik zusammengebaut. Die Batterie ist daher ein</w:t>
      </w:r>
      <w:r>
        <w:rPr>
          <w:spacing w:val="10"/>
        </w:rPr>
        <w:t> </w:t>
      </w:r>
      <w:r>
        <w:rPr/>
        <w:t>Batteriegerät.</w:t>
      </w:r>
    </w:p>
    <w:p>
      <w:pPr>
        <w:pStyle w:val="BodyText"/>
        <w:spacing w:before="9"/>
        <w:rPr>
          <w:sz w:val="15"/>
        </w:rPr>
      </w:pPr>
    </w:p>
    <w:p>
      <w:pPr>
        <w:pStyle w:val="BodyText"/>
        <w:spacing w:before="1"/>
        <w:ind w:left="136" w:right="219"/>
        <w:jc w:val="both"/>
      </w:pPr>
      <w:r>
        <w:rPr/>
        <w:t>AIRBATT Batterien sind speziell für die Luftfahrt konzipiert worden, können aber auch in anderen Fahrzeugen eingesetzt werden. Beachten  Sie  bei  der  Installation  unbedingt  nationale  und  internationale  Normen  und  Richtlinien.  Die  Vorgaben der Fahrzeughersteller, deklariert im jeweiligen Handbuch, haben </w:t>
      </w:r>
      <w:r>
        <w:rPr>
          <w:u w:val="single"/>
        </w:rPr>
        <w:t>immer</w:t>
      </w:r>
      <w:r>
        <w:rPr/>
        <w:t> Vorrang. Die Installation darf nur von ausgebildeten und geschulten Fachkräften durchgeführt werden. Schalten Sie  das  ELEKTRISCHE  SYSTEM  unbedingt AUS, bevor Sie die Arbeiten</w:t>
      </w:r>
      <w:r>
        <w:rPr>
          <w:spacing w:val="-25"/>
        </w:rPr>
        <w:t> </w:t>
      </w:r>
      <w:r>
        <w:rPr/>
        <w:t>ausführen.</w:t>
      </w:r>
    </w:p>
    <w:p>
      <w:pPr>
        <w:pStyle w:val="BodyText"/>
        <w:spacing w:before="9"/>
        <w:rPr>
          <w:sz w:val="15"/>
        </w:rPr>
      </w:pPr>
    </w:p>
    <w:p>
      <w:pPr>
        <w:pStyle w:val="Heading2"/>
      </w:pPr>
      <w:r>
        <w:rPr/>
        <w:t>Bitte beachten Sie unbedingt folgende Hinweise:</w:t>
      </w:r>
    </w:p>
    <w:p>
      <w:pPr>
        <w:pStyle w:val="ListParagraph"/>
        <w:numPr>
          <w:ilvl w:val="0"/>
          <w:numId w:val="1"/>
        </w:numPr>
        <w:tabs>
          <w:tab w:pos="856" w:val="left" w:leader="none"/>
          <w:tab w:pos="857" w:val="left" w:leader="none"/>
        </w:tabs>
        <w:spacing w:line="195" w:lineRule="exact" w:before="4" w:after="0"/>
        <w:ind w:left="856" w:right="0" w:hanging="361"/>
        <w:jc w:val="left"/>
        <w:rPr>
          <w:sz w:val="16"/>
        </w:rPr>
      </w:pPr>
      <w:r>
        <w:rPr>
          <w:sz w:val="16"/>
        </w:rPr>
        <w:t>Batterie niemals kurzschließen, überladen oder untertauchen (z.B. in</w:t>
      </w:r>
      <w:r>
        <w:rPr>
          <w:spacing w:val="-9"/>
          <w:sz w:val="16"/>
        </w:rPr>
        <w:t> </w:t>
      </w:r>
      <w:r>
        <w:rPr>
          <w:sz w:val="16"/>
        </w:rPr>
        <w:t>Wasser)</w:t>
      </w:r>
    </w:p>
    <w:p>
      <w:pPr>
        <w:pStyle w:val="ListParagraph"/>
        <w:numPr>
          <w:ilvl w:val="0"/>
          <w:numId w:val="1"/>
        </w:numPr>
        <w:tabs>
          <w:tab w:pos="856" w:val="left" w:leader="none"/>
          <w:tab w:pos="857" w:val="left" w:leader="none"/>
        </w:tabs>
        <w:spacing w:line="194" w:lineRule="exact" w:before="0" w:after="0"/>
        <w:ind w:left="856" w:right="0" w:hanging="361"/>
        <w:jc w:val="left"/>
        <w:rPr>
          <w:sz w:val="16"/>
        </w:rPr>
      </w:pPr>
      <w:r>
        <w:rPr>
          <w:sz w:val="16"/>
        </w:rPr>
        <w:t>Batteriegehäuse, Zellen oder andere Teile nicht</w:t>
      </w:r>
      <w:r>
        <w:rPr>
          <w:spacing w:val="-2"/>
          <w:sz w:val="16"/>
        </w:rPr>
        <w:t> </w:t>
      </w:r>
      <w:r>
        <w:rPr>
          <w:sz w:val="16"/>
        </w:rPr>
        <w:t>öffnen</w:t>
      </w:r>
    </w:p>
    <w:p>
      <w:pPr>
        <w:pStyle w:val="ListParagraph"/>
        <w:numPr>
          <w:ilvl w:val="0"/>
          <w:numId w:val="1"/>
        </w:numPr>
        <w:tabs>
          <w:tab w:pos="856" w:val="left" w:leader="none"/>
          <w:tab w:pos="857" w:val="left" w:leader="none"/>
        </w:tabs>
        <w:spacing w:line="194" w:lineRule="exact" w:before="0" w:after="0"/>
        <w:ind w:left="856" w:right="0" w:hanging="361"/>
        <w:jc w:val="left"/>
        <w:rPr>
          <w:sz w:val="16"/>
        </w:rPr>
      </w:pPr>
      <w:r>
        <w:rPr>
          <w:sz w:val="16"/>
        </w:rPr>
        <w:t>Verwenden Sie nur die von uns freigegebenen Ladegeräte</w:t>
      </w:r>
    </w:p>
    <w:p>
      <w:pPr>
        <w:pStyle w:val="ListParagraph"/>
        <w:numPr>
          <w:ilvl w:val="0"/>
          <w:numId w:val="1"/>
        </w:numPr>
        <w:tabs>
          <w:tab w:pos="856" w:val="left" w:leader="none"/>
          <w:tab w:pos="857" w:val="left" w:leader="none"/>
        </w:tabs>
        <w:spacing w:line="194" w:lineRule="exact" w:before="0" w:after="0"/>
        <w:ind w:left="856" w:right="0" w:hanging="361"/>
        <w:jc w:val="left"/>
        <w:rPr>
          <w:sz w:val="16"/>
        </w:rPr>
      </w:pPr>
      <w:r>
        <w:rPr>
          <w:sz w:val="16"/>
        </w:rPr>
        <w:t>Prüfen Sie die Batterie vor Einbau auf äußere</w:t>
      </w:r>
      <w:r>
        <w:rPr>
          <w:spacing w:val="-9"/>
          <w:sz w:val="16"/>
        </w:rPr>
        <w:t> </w:t>
      </w:r>
      <w:r>
        <w:rPr>
          <w:sz w:val="16"/>
        </w:rPr>
        <w:t>Beschädigungen</w:t>
      </w:r>
    </w:p>
    <w:p>
      <w:pPr>
        <w:pStyle w:val="ListParagraph"/>
        <w:numPr>
          <w:ilvl w:val="0"/>
          <w:numId w:val="1"/>
        </w:numPr>
        <w:tabs>
          <w:tab w:pos="856" w:val="left" w:leader="none"/>
          <w:tab w:pos="857" w:val="left" w:leader="none"/>
        </w:tabs>
        <w:spacing w:line="240" w:lineRule="auto" w:before="0" w:after="0"/>
        <w:ind w:left="856" w:right="697" w:hanging="360"/>
        <w:jc w:val="left"/>
        <w:rPr>
          <w:sz w:val="16"/>
        </w:rPr>
      </w:pPr>
      <w:r>
        <w:rPr>
          <w:sz w:val="16"/>
        </w:rPr>
        <w:t>Benutzen Sie bei ungesteuerter Ladung (z.B. von Lichtmaschinen oder Solaranlagen) einen geeigneten Überspannungsschutz zum Schutz vor Überspannung (Artikelnummer: 8005945) während des</w:t>
      </w:r>
      <w:r>
        <w:rPr>
          <w:spacing w:val="-8"/>
          <w:sz w:val="16"/>
        </w:rPr>
        <w:t> </w:t>
      </w:r>
      <w:r>
        <w:rPr>
          <w:sz w:val="16"/>
        </w:rPr>
        <w:t>Ladevorgangs</w:t>
      </w:r>
    </w:p>
    <w:p>
      <w:pPr>
        <w:pStyle w:val="ListParagraph"/>
        <w:numPr>
          <w:ilvl w:val="0"/>
          <w:numId w:val="1"/>
        </w:numPr>
        <w:tabs>
          <w:tab w:pos="856" w:val="left" w:leader="none"/>
          <w:tab w:pos="857" w:val="left" w:leader="none"/>
        </w:tabs>
        <w:spacing w:line="195" w:lineRule="exact" w:before="0" w:after="0"/>
        <w:ind w:left="856" w:right="0" w:hanging="361"/>
        <w:jc w:val="left"/>
        <w:rPr>
          <w:sz w:val="16"/>
        </w:rPr>
      </w:pPr>
      <w:r>
        <w:rPr>
          <w:sz w:val="16"/>
        </w:rPr>
        <w:t>Benutzen oder lagern Sie die Batterie nicht in der Nähe von Feuer, Heizung oder</w:t>
      </w:r>
      <w:r>
        <w:rPr>
          <w:spacing w:val="-8"/>
          <w:sz w:val="16"/>
        </w:rPr>
        <w:t> </w:t>
      </w:r>
      <w:r>
        <w:rPr>
          <w:sz w:val="16"/>
        </w:rPr>
        <w:t>Funkenquellen</w:t>
      </w:r>
    </w:p>
    <w:p>
      <w:pPr>
        <w:pStyle w:val="ListParagraph"/>
        <w:numPr>
          <w:ilvl w:val="0"/>
          <w:numId w:val="1"/>
        </w:numPr>
        <w:tabs>
          <w:tab w:pos="856" w:val="left" w:leader="none"/>
          <w:tab w:pos="857" w:val="left" w:leader="none"/>
        </w:tabs>
        <w:spacing w:line="195" w:lineRule="exact" w:before="0" w:after="0"/>
        <w:ind w:left="856" w:right="0" w:hanging="361"/>
        <w:jc w:val="left"/>
        <w:rPr>
          <w:sz w:val="16"/>
        </w:rPr>
      </w:pPr>
      <w:r>
        <w:rPr>
          <w:sz w:val="16"/>
        </w:rPr>
        <w:t>Tiefenentladung führt zu</w:t>
      </w:r>
      <w:r>
        <w:rPr>
          <w:spacing w:val="-3"/>
          <w:sz w:val="16"/>
        </w:rPr>
        <w:t> </w:t>
      </w:r>
      <w:r>
        <w:rPr>
          <w:sz w:val="16"/>
        </w:rPr>
        <w:t>Kapazitätsverlusten</w:t>
      </w:r>
    </w:p>
    <w:p>
      <w:pPr>
        <w:pStyle w:val="ListParagraph"/>
        <w:numPr>
          <w:ilvl w:val="0"/>
          <w:numId w:val="1"/>
        </w:numPr>
        <w:tabs>
          <w:tab w:pos="856" w:val="left" w:leader="none"/>
          <w:tab w:pos="857" w:val="left" w:leader="none"/>
        </w:tabs>
        <w:spacing w:line="240" w:lineRule="auto" w:before="0" w:after="0"/>
        <w:ind w:left="856" w:right="0" w:hanging="361"/>
        <w:jc w:val="left"/>
        <w:rPr>
          <w:sz w:val="16"/>
        </w:rPr>
      </w:pPr>
      <w:r>
        <w:rPr>
          <w:sz w:val="16"/>
        </w:rPr>
        <w:t>Führen Sie keinerlei Veränderungen an der Batterie</w:t>
      </w:r>
      <w:r>
        <w:rPr>
          <w:spacing w:val="-4"/>
          <w:sz w:val="16"/>
        </w:rPr>
        <w:t> </w:t>
      </w:r>
      <w:r>
        <w:rPr>
          <w:sz w:val="16"/>
        </w:rPr>
        <w:t>durch</w:t>
      </w:r>
    </w:p>
    <w:p>
      <w:pPr>
        <w:pStyle w:val="Heading2"/>
        <w:spacing w:before="177"/>
      </w:pPr>
      <w:r>
        <w:rPr/>
        <w:t>Mögliche Gefahren bei Missachtung der Hinweise:</w:t>
      </w:r>
    </w:p>
    <w:p>
      <w:pPr>
        <w:pStyle w:val="ListParagraph"/>
        <w:numPr>
          <w:ilvl w:val="0"/>
          <w:numId w:val="1"/>
        </w:numPr>
        <w:tabs>
          <w:tab w:pos="856" w:val="left" w:leader="none"/>
          <w:tab w:pos="857" w:val="left" w:leader="none"/>
        </w:tabs>
        <w:spacing w:line="195" w:lineRule="exact" w:before="5" w:after="0"/>
        <w:ind w:left="856" w:right="0" w:hanging="361"/>
        <w:jc w:val="left"/>
        <w:rPr>
          <w:sz w:val="16"/>
        </w:rPr>
      </w:pPr>
      <w:r>
        <w:rPr>
          <w:sz w:val="16"/>
        </w:rPr>
        <w:t>Brandgefahr durch elektrischen Kurzschluss</w:t>
      </w:r>
    </w:p>
    <w:p>
      <w:pPr>
        <w:pStyle w:val="ListParagraph"/>
        <w:numPr>
          <w:ilvl w:val="0"/>
          <w:numId w:val="1"/>
        </w:numPr>
        <w:tabs>
          <w:tab w:pos="856" w:val="left" w:leader="none"/>
          <w:tab w:pos="857" w:val="left" w:leader="none"/>
        </w:tabs>
        <w:spacing w:line="194" w:lineRule="exact" w:before="0" w:after="0"/>
        <w:ind w:left="856" w:right="0" w:hanging="361"/>
        <w:jc w:val="left"/>
        <w:rPr>
          <w:sz w:val="16"/>
        </w:rPr>
      </w:pPr>
      <w:r>
        <w:rPr>
          <w:sz w:val="16"/>
        </w:rPr>
        <w:t>Zersetzung und Erwärmung unter Bildung giftiger und ätzender</w:t>
      </w:r>
      <w:r>
        <w:rPr>
          <w:spacing w:val="-6"/>
          <w:sz w:val="16"/>
        </w:rPr>
        <w:t> </w:t>
      </w:r>
      <w:r>
        <w:rPr>
          <w:sz w:val="16"/>
        </w:rPr>
        <w:t>Gase</w:t>
      </w:r>
    </w:p>
    <w:p>
      <w:pPr>
        <w:pStyle w:val="ListParagraph"/>
        <w:numPr>
          <w:ilvl w:val="0"/>
          <w:numId w:val="1"/>
        </w:numPr>
        <w:tabs>
          <w:tab w:pos="856" w:val="left" w:leader="none"/>
          <w:tab w:pos="857" w:val="left" w:leader="none"/>
        </w:tabs>
        <w:spacing w:line="195" w:lineRule="exact" w:before="0" w:after="0"/>
        <w:ind w:left="856" w:right="0" w:hanging="361"/>
        <w:jc w:val="left"/>
        <w:rPr>
          <w:sz w:val="16"/>
        </w:rPr>
      </w:pPr>
      <w:r>
        <w:rPr>
          <w:sz w:val="16"/>
        </w:rPr>
        <w:t>Reizung und Schädigung von Augen und</w:t>
      </w:r>
      <w:r>
        <w:rPr>
          <w:spacing w:val="-2"/>
          <w:sz w:val="16"/>
        </w:rPr>
        <w:t> </w:t>
      </w:r>
      <w:r>
        <w:rPr>
          <w:sz w:val="16"/>
        </w:rPr>
        <w:t>Atmungsorganen</w:t>
      </w:r>
    </w:p>
    <w:p>
      <w:pPr>
        <w:pStyle w:val="BodyText"/>
        <w:rPr>
          <w:sz w:val="20"/>
        </w:rPr>
      </w:pPr>
    </w:p>
    <w:p>
      <w:pPr>
        <w:pStyle w:val="Heading1"/>
        <w:spacing w:before="131"/>
      </w:pPr>
      <w:r>
        <w:rPr/>
        <w:t>Hinweis zum Batteriegesetz / Entsorgung</w:t>
      </w:r>
    </w:p>
    <w:p>
      <w:pPr>
        <w:pStyle w:val="BodyText"/>
        <w:spacing w:before="7"/>
        <w:rPr>
          <w:rFonts w:ascii="Tahoma"/>
          <w:b/>
          <w:sz w:val="29"/>
        </w:rPr>
      </w:pPr>
    </w:p>
    <w:p>
      <w:pPr>
        <w:pStyle w:val="BodyText"/>
        <w:spacing w:line="184" w:lineRule="exact"/>
        <w:ind w:left="136"/>
      </w:pPr>
      <w:r>
        <w:rPr/>
        <w:t>Endverbraucher sind zur Rückgabe gebrauchter Batterien gemäß §11 BattG gesetzlich verpflichtet.</w:t>
      </w:r>
    </w:p>
    <w:p>
      <w:pPr>
        <w:pStyle w:val="BodyText"/>
        <w:ind w:left="136" w:right="118"/>
      </w:pPr>
      <w:r>
        <w:rPr/>
        <w:t>Batterien können dem Verkäufer an einer seiner Verkaufsstellen oder an Sammelstellen des gemeinsamen Rücknahme- systems unentgeltlich zurückgegeben werden.</w:t>
      </w:r>
    </w:p>
    <w:sectPr>
      <w:pgSz w:w="11910" w:h="16840"/>
      <w:pgMar w:header="750" w:footer="879" w:top="2140" w:bottom="1060" w:left="1280" w:right="12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ahoma">
    <w:altName w:val="Tahoma"/>
    <w:charset w:val="0"/>
    <w:family w:val="swiss"/>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1781120" from="69.384003pt,785.459961pt" to="525.934003pt,785.459961pt" stroked="true" strokeweight="3pt" strokecolor="#340890">
          <v:stroke dashstyle="solid"/>
          <w10:wrap type="none"/>
        </v:line>
      </w:pict>
    </w:r>
    <w:r>
      <w:rPr/>
      <w:pict>
        <v:shape style="position:absolute;margin-left:69.823997pt;margin-top:787.295593pt;width:347.7pt;height:11pt;mso-position-horizontal-relative:page;mso-position-vertical-relative:page;z-index:-251780096" type="#_x0000_t202" filled="false" stroked="false">
          <v:textbox inset="0,0,0,0">
            <w:txbxContent>
              <w:p>
                <w:pPr>
                  <w:pStyle w:val="BodyText"/>
                  <w:spacing w:before="15"/>
                  <w:ind w:left="20"/>
                </w:pPr>
                <w:r>
                  <w:rPr/>
                  <w:t>© ACCU-24 Batterien &amp; Systeme GmbH | Untergasse 5 | 63688 Gedern| +0049 (0)6045 / 952520</w:t>
                </w:r>
              </w:p>
            </w:txbxContent>
          </v:textbox>
          <w10:wrap type="none"/>
        </v:shape>
      </w:pict>
    </w:r>
    <w:r>
      <w:rPr/>
      <w:pict>
        <v:shape style="position:absolute;margin-left:500.579987pt;margin-top:787.295593pt;width:29.05pt;height:11pt;mso-position-horizontal-relative:page;mso-position-vertical-relative:page;z-index:-251779072" type="#_x0000_t202" filled="false" stroked="false">
          <v:textbox inset="0,0,0,0">
            <w:txbxContent>
              <w:p>
                <w:pPr>
                  <w:pStyle w:val="BodyText"/>
                  <w:spacing w:before="15"/>
                  <w:ind w:left="20"/>
                </w:pPr>
                <w:r>
                  <w:rPr/>
                  <w:t>Seite </w:t>
                </w:r>
                <w:r>
                  <w:rPr/>
                  <w:fldChar w:fldCharType="begin"/>
                </w:r>
                <w:r>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51533312">
          <wp:simplePos x="0" y="0"/>
          <wp:positionH relativeFrom="page">
            <wp:posOffset>899794</wp:posOffset>
          </wp:positionH>
          <wp:positionV relativeFrom="page">
            <wp:posOffset>477519</wp:posOffset>
          </wp:positionV>
          <wp:extent cx="2368296" cy="889000"/>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1" cstate="print"/>
                  <a:stretch>
                    <a:fillRect/>
                  </a:stretch>
                </pic:blipFill>
                <pic:spPr>
                  <a:xfrm>
                    <a:off x="0" y="0"/>
                    <a:ext cx="2368296" cy="8890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378.869995pt;margin-top:36.481583pt;width:143.1pt;height:57.25pt;mso-position-horizontal-relative:page;mso-position-vertical-relative:page;z-index:-251782144" type="#_x0000_t202" filled="false" stroked="false">
          <v:textbox inset="0,0,0,0">
            <w:txbxContent>
              <w:p>
                <w:pPr>
                  <w:spacing w:before="15"/>
                  <w:ind w:left="0" w:right="18" w:firstLine="0"/>
                  <w:jc w:val="right"/>
                  <w:rPr>
                    <w:b/>
                    <w:sz w:val="16"/>
                  </w:rPr>
                </w:pPr>
                <w:r>
                  <w:rPr>
                    <w:b/>
                    <w:sz w:val="16"/>
                  </w:rPr>
                  <w:t>ACCU-24 Batterien &amp; Systeme</w:t>
                </w:r>
                <w:r>
                  <w:rPr>
                    <w:b/>
                    <w:spacing w:val="-6"/>
                    <w:sz w:val="16"/>
                  </w:rPr>
                  <w:t> </w:t>
                </w:r>
                <w:r>
                  <w:rPr>
                    <w:b/>
                    <w:sz w:val="16"/>
                  </w:rPr>
                  <w:t>GmbH</w:t>
                </w:r>
              </w:p>
              <w:p>
                <w:pPr>
                  <w:pStyle w:val="BodyText"/>
                  <w:spacing w:before="3"/>
                  <w:ind w:right="22"/>
                  <w:jc w:val="right"/>
                </w:pPr>
                <w:r>
                  <w:rPr/>
                  <w:t>Untergasse 5, 63688</w:t>
                </w:r>
                <w:r>
                  <w:rPr>
                    <w:spacing w:val="-10"/>
                  </w:rPr>
                  <w:t> </w:t>
                </w:r>
                <w:r>
                  <w:rPr/>
                  <w:t>Gedern</w:t>
                </w:r>
              </w:p>
              <w:p>
                <w:pPr>
                  <w:pStyle w:val="BodyText"/>
                  <w:spacing w:line="183" w:lineRule="exact" w:before="1"/>
                  <w:ind w:right="19"/>
                  <w:jc w:val="right"/>
                </w:pPr>
                <w:r>
                  <w:rPr/>
                  <w:t>Telefon: +49 (0) 6045 /</w:t>
                </w:r>
                <w:r>
                  <w:rPr>
                    <w:spacing w:val="-7"/>
                  </w:rPr>
                  <w:t> </w:t>
                </w:r>
                <w:r>
                  <w:rPr/>
                  <w:t>952520</w:t>
                </w:r>
              </w:p>
              <w:p>
                <w:pPr>
                  <w:pStyle w:val="BodyText"/>
                  <w:spacing w:line="183" w:lineRule="exact"/>
                  <w:ind w:right="19"/>
                  <w:jc w:val="right"/>
                </w:pPr>
                <w:r>
                  <w:rPr/>
                  <w:t>Telefax: +49(0) 6045 /</w:t>
                </w:r>
                <w:r>
                  <w:rPr>
                    <w:spacing w:val="-7"/>
                  </w:rPr>
                  <w:t> </w:t>
                </w:r>
                <w:r>
                  <w:rPr/>
                  <w:t>952966</w:t>
                </w:r>
              </w:p>
              <w:p>
                <w:pPr>
                  <w:pStyle w:val="BodyText"/>
                  <w:spacing w:before="1"/>
                  <w:ind w:left="1654" w:right="18" w:hanging="29"/>
                  <w:jc w:val="right"/>
                </w:pPr>
                <w:hyperlink r:id="rId2">
                  <w:r>
                    <w:rPr>
                      <w:color w:val="0000FF"/>
                      <w:spacing w:val="-1"/>
                      <w:u w:val="single" w:color="0000FF"/>
                    </w:rPr>
                    <w:t>info@accu-24.de</w:t>
                  </w:r>
                </w:hyperlink>
                <w:r>
                  <w:rPr>
                    <w:color w:val="0000FF"/>
                    <w:spacing w:val="-1"/>
                  </w:rPr>
                  <w:t> </w:t>
                </w:r>
                <w:hyperlink r:id="rId3">
                  <w:r>
                    <w:rPr>
                      <w:color w:val="0000FF"/>
                      <w:spacing w:val="-1"/>
                      <w:u w:val="single" w:color="0000FF"/>
                    </w:rPr>
                    <w:t>www.accu-24.de</w:t>
                  </w:r>
                </w:hyperlink>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56" w:hanging="360"/>
      </w:pPr>
      <w:rPr>
        <w:rFonts w:hint="default" w:ascii="Symbol" w:hAnsi="Symbol" w:eastAsia="Symbol" w:cs="Symbol"/>
        <w:w w:val="100"/>
        <w:sz w:val="16"/>
        <w:szCs w:val="16"/>
        <w:lang w:val="de-DE" w:eastAsia="de-DE" w:bidi="de-DE"/>
      </w:rPr>
    </w:lvl>
    <w:lvl w:ilvl="1">
      <w:start w:val="0"/>
      <w:numFmt w:val="bullet"/>
      <w:lvlText w:val="•"/>
      <w:lvlJc w:val="left"/>
      <w:pPr>
        <w:ind w:left="1708" w:hanging="360"/>
      </w:pPr>
      <w:rPr>
        <w:rFonts w:hint="default"/>
        <w:lang w:val="de-DE" w:eastAsia="de-DE" w:bidi="de-DE"/>
      </w:rPr>
    </w:lvl>
    <w:lvl w:ilvl="2">
      <w:start w:val="0"/>
      <w:numFmt w:val="bullet"/>
      <w:lvlText w:val="•"/>
      <w:lvlJc w:val="left"/>
      <w:pPr>
        <w:ind w:left="2557" w:hanging="360"/>
      </w:pPr>
      <w:rPr>
        <w:rFonts w:hint="default"/>
        <w:lang w:val="de-DE" w:eastAsia="de-DE" w:bidi="de-DE"/>
      </w:rPr>
    </w:lvl>
    <w:lvl w:ilvl="3">
      <w:start w:val="0"/>
      <w:numFmt w:val="bullet"/>
      <w:lvlText w:val="•"/>
      <w:lvlJc w:val="left"/>
      <w:pPr>
        <w:ind w:left="3405" w:hanging="360"/>
      </w:pPr>
      <w:rPr>
        <w:rFonts w:hint="default"/>
        <w:lang w:val="de-DE" w:eastAsia="de-DE" w:bidi="de-DE"/>
      </w:rPr>
    </w:lvl>
    <w:lvl w:ilvl="4">
      <w:start w:val="0"/>
      <w:numFmt w:val="bullet"/>
      <w:lvlText w:val="•"/>
      <w:lvlJc w:val="left"/>
      <w:pPr>
        <w:ind w:left="4254" w:hanging="360"/>
      </w:pPr>
      <w:rPr>
        <w:rFonts w:hint="default"/>
        <w:lang w:val="de-DE" w:eastAsia="de-DE" w:bidi="de-DE"/>
      </w:rPr>
    </w:lvl>
    <w:lvl w:ilvl="5">
      <w:start w:val="0"/>
      <w:numFmt w:val="bullet"/>
      <w:lvlText w:val="•"/>
      <w:lvlJc w:val="left"/>
      <w:pPr>
        <w:ind w:left="5103" w:hanging="360"/>
      </w:pPr>
      <w:rPr>
        <w:rFonts w:hint="default"/>
        <w:lang w:val="de-DE" w:eastAsia="de-DE" w:bidi="de-DE"/>
      </w:rPr>
    </w:lvl>
    <w:lvl w:ilvl="6">
      <w:start w:val="0"/>
      <w:numFmt w:val="bullet"/>
      <w:lvlText w:val="•"/>
      <w:lvlJc w:val="left"/>
      <w:pPr>
        <w:ind w:left="5951" w:hanging="360"/>
      </w:pPr>
      <w:rPr>
        <w:rFonts w:hint="default"/>
        <w:lang w:val="de-DE" w:eastAsia="de-DE" w:bidi="de-DE"/>
      </w:rPr>
    </w:lvl>
    <w:lvl w:ilvl="7">
      <w:start w:val="0"/>
      <w:numFmt w:val="bullet"/>
      <w:lvlText w:val="•"/>
      <w:lvlJc w:val="left"/>
      <w:pPr>
        <w:ind w:left="6800" w:hanging="360"/>
      </w:pPr>
      <w:rPr>
        <w:rFonts w:hint="default"/>
        <w:lang w:val="de-DE" w:eastAsia="de-DE" w:bidi="de-DE"/>
      </w:rPr>
    </w:lvl>
    <w:lvl w:ilvl="8">
      <w:start w:val="0"/>
      <w:numFmt w:val="bullet"/>
      <w:lvlText w:val="•"/>
      <w:lvlJc w:val="left"/>
      <w:pPr>
        <w:ind w:left="7649" w:hanging="360"/>
      </w:pPr>
      <w:rPr>
        <w:rFonts w:hint="default"/>
        <w:lang w:val="de-DE" w:eastAsia="de-DE" w:bidi="de-D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de-DE" w:eastAsia="de-DE" w:bidi="de-DE"/>
    </w:rPr>
  </w:style>
  <w:style w:styleId="BodyText" w:type="paragraph">
    <w:name w:val="Body Text"/>
    <w:basedOn w:val="Normal"/>
    <w:uiPriority w:val="1"/>
    <w:qFormat/>
    <w:pPr/>
    <w:rPr>
      <w:rFonts w:ascii="Arial" w:hAnsi="Arial" w:eastAsia="Arial" w:cs="Arial"/>
      <w:sz w:val="16"/>
      <w:szCs w:val="16"/>
      <w:lang w:val="de-DE" w:eastAsia="de-DE" w:bidi="de-DE"/>
    </w:rPr>
  </w:style>
  <w:style w:styleId="Heading1" w:type="paragraph">
    <w:name w:val="Heading 1"/>
    <w:basedOn w:val="Normal"/>
    <w:uiPriority w:val="1"/>
    <w:qFormat/>
    <w:pPr>
      <w:spacing w:before="158"/>
      <w:ind w:left="136"/>
      <w:outlineLvl w:val="1"/>
    </w:pPr>
    <w:rPr>
      <w:rFonts w:ascii="Tahoma" w:hAnsi="Tahoma" w:eastAsia="Tahoma" w:cs="Tahoma"/>
      <w:b/>
      <w:bCs/>
      <w:sz w:val="18"/>
      <w:szCs w:val="18"/>
      <w:lang w:val="de-DE" w:eastAsia="de-DE" w:bidi="de-DE"/>
    </w:rPr>
  </w:style>
  <w:style w:styleId="Heading2" w:type="paragraph">
    <w:name w:val="Heading 2"/>
    <w:basedOn w:val="Normal"/>
    <w:uiPriority w:val="1"/>
    <w:qFormat/>
    <w:pPr>
      <w:ind w:left="136"/>
      <w:outlineLvl w:val="2"/>
    </w:pPr>
    <w:rPr>
      <w:rFonts w:ascii="Arial" w:hAnsi="Arial" w:eastAsia="Arial" w:cs="Arial"/>
      <w:b/>
      <w:bCs/>
      <w:sz w:val="16"/>
      <w:szCs w:val="16"/>
      <w:lang w:val="de-DE" w:eastAsia="de-DE" w:bidi="de-DE"/>
    </w:rPr>
  </w:style>
  <w:style w:styleId="ListParagraph" w:type="paragraph">
    <w:name w:val="List Paragraph"/>
    <w:basedOn w:val="Normal"/>
    <w:uiPriority w:val="1"/>
    <w:qFormat/>
    <w:pPr>
      <w:spacing w:line="195" w:lineRule="exact"/>
      <w:ind w:left="856" w:hanging="361"/>
    </w:pPr>
    <w:rPr>
      <w:rFonts w:ascii="Arial" w:hAnsi="Arial" w:eastAsia="Arial" w:cs="Arial"/>
      <w:lang w:val="de-DE" w:eastAsia="de-DE" w:bidi="de-DE"/>
    </w:rPr>
  </w:style>
  <w:style w:styleId="TableParagraph" w:type="paragraph">
    <w:name w:val="Table Paragraph"/>
    <w:basedOn w:val="Normal"/>
    <w:uiPriority w:val="1"/>
    <w:qFormat/>
    <w:pPr/>
    <w:rPr>
      <w:lang w:val="de-DE" w:eastAsia="de-DE" w:bidi="de-D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info@accu-24.de" TargetMode="External"/><Relationship Id="rId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mailto:info@accu-24.de" TargetMode="External"/><Relationship Id="rId3" Type="http://schemas.openxmlformats.org/officeDocument/2006/relationships/hyperlink" Target="http://www.accu-24.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Naumann</dc:creator>
  <dcterms:created xsi:type="dcterms:W3CDTF">2022-07-22T11:33:38Z</dcterms:created>
  <dcterms:modified xsi:type="dcterms:W3CDTF">2022-07-22T11:33:38Z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2016-10-26T00:00:00Z</vt:filetime>
  </property>
  <property fmtid="{D5CDD505-2E9C-101B-9397-08002B2CF9AE}" pid="3" name="Creator">
    <vt:lpwstr>Microsoft® Word 2010</vt:lpwstr>
  </property>
  <property fmtid="{D5CDD505-2E9C-101B-9397-08002B2CF9AE}" pid="4" name="LastSaved">
    <vt:filetime>2022-07-22T00:00:00Z</vt:filetime>
  </property>
</Properties>
</file>